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 w:cs="黑体"/>
        </w:rPr>
      </w:pPr>
      <w:bookmarkStart w:id="0" w:name="_GoBack"/>
      <w:bookmarkEnd w:id="0"/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default" w:ascii="黑体" w:hAnsi="黑体" w:eastAsia="黑体" w:cs="黑体"/>
          <w:sz w:val="32"/>
          <w:szCs w:val="32"/>
        </w:rPr>
        <w:t>1</w:t>
      </w:r>
      <w:r>
        <w:rPr>
          <w:rFonts w:hint="eastAsia" w:ascii="黑体" w:hAnsi="黑体" w:eastAsia="黑体" w:cs="黑体"/>
          <w:sz w:val="32"/>
          <w:szCs w:val="32"/>
        </w:rPr>
        <w:t>：</w:t>
      </w:r>
    </w:p>
    <w:p>
      <w:pPr>
        <w:rPr>
          <w:rFonts w:hint="eastAsia" w:ascii="黑体" w:hAnsi="黑体" w:eastAsia="黑体" w:cs="黑体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600" w:lineRule="exact"/>
        <w:jc w:val="center"/>
        <w:textAlignment w:val="auto"/>
        <w:outlineLvl w:val="9"/>
        <w:rPr>
          <w:rFonts w:hint="eastAsia" w:ascii="方正小标宋_GBK" w:hAnsi="方正小标宋_GBK" w:eastAsia="方正小标宋_GBK" w:cs="方正小标宋_GBK"/>
          <w:sz w:val="44"/>
        </w:rPr>
      </w:pPr>
      <w:r>
        <w:rPr>
          <w:rFonts w:hint="eastAsia" w:ascii="方正小标宋_GBK" w:hAnsi="方正小标宋_GBK" w:eastAsia="方正小标宋_GBK" w:cs="方正小标宋_GBK"/>
          <w:sz w:val="44"/>
        </w:rPr>
        <w:t>2021年最高人民检察院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600" w:lineRule="exact"/>
        <w:jc w:val="center"/>
        <w:textAlignment w:val="auto"/>
        <w:outlineLvl w:val="9"/>
        <w:rPr>
          <w:rFonts w:hint="eastAsia" w:ascii="方正小标宋_GBK" w:hAnsi="方正小标宋_GBK" w:eastAsia="方正小标宋_GBK" w:cs="方正小标宋_GBK"/>
          <w:sz w:val="44"/>
        </w:rPr>
      </w:pPr>
      <w:r>
        <w:rPr>
          <w:rFonts w:hint="eastAsia" w:ascii="方正小标宋_GBK" w:hAnsi="方正小标宋_GBK" w:eastAsia="方正小标宋_GBK" w:cs="方正小标宋_GBK"/>
          <w:sz w:val="44"/>
        </w:rPr>
        <w:t>检察应用理论研究课题参考选题</w:t>
      </w:r>
    </w:p>
    <w:p>
      <w:pPr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0"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一、关于服务保障经济社会高质量发展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0"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1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．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检察工作贯彻落实习近平法治思想问题研究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0"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2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．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检察机关促进社会治理体系法治化研究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0"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3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．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国家治理体系下的检察建议研究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0"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4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．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检察理念与“政治效果、法律效果、社会效果相统一”问题研究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0"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5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．</w:t>
      </w:r>
      <w:r>
        <w:rPr>
          <w:rFonts w:hint="default" w:ascii="Times New Roman" w:hAnsi="Times New Roman" w:eastAsia="仿宋_GB2312" w:cs="Times New Roman"/>
          <w:sz w:val="32"/>
          <w:szCs w:val="32"/>
        </w:rPr>
        <w:t>贯彻落实“少捕慎诉慎押”司法理念的检察实践研究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0"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6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．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加强区域检察协作服务保障西部陆海新通道实证研究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0"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7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．</w:t>
      </w:r>
      <w:r>
        <w:rPr>
          <w:rFonts w:hint="default" w:ascii="Times New Roman" w:hAnsi="Times New Roman" w:eastAsia="仿宋_GB2312" w:cs="Times New Roman"/>
          <w:sz w:val="32"/>
          <w:szCs w:val="32"/>
        </w:rPr>
        <w:t>“扫黑除恶”工作中法律适用问题研究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0"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8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．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企业合规建立第三方监管机制实践与问题研究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0"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9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．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企业生产经营面临的刑事风险与防范研究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0"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10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．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企业犯罪相对不起诉研究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0"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11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．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发挥检察职能依法服务保障长江流域禁捕工作研究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0"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12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．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人民检察院司法救助工作实证研究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0" w:firstLine="640" w:firstLineChars="200"/>
        <w:textAlignment w:val="auto"/>
        <w:rPr>
          <w:rFonts w:hint="default" w:ascii="黑体" w:hAnsi="黑体" w:eastAsia="黑体" w:cs="黑体"/>
          <w:sz w:val="32"/>
          <w:szCs w:val="32"/>
        </w:rPr>
      </w:pPr>
      <w:r>
        <w:rPr>
          <w:rFonts w:hint="default" w:ascii="黑体" w:hAnsi="黑体" w:eastAsia="黑体" w:cs="黑体"/>
          <w:sz w:val="32"/>
          <w:szCs w:val="32"/>
        </w:rPr>
        <w:t>二、关于检察改革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240" w:lineRule="auto"/>
        <w:ind w:left="0" w:leftChars="0"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1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．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u w:val="none" w:color="auto"/>
        </w:rPr>
        <w:t>检察机关各业务条线互涉案件线索协调处理机制研究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0"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2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．</w:t>
      </w:r>
      <w:r>
        <w:rPr>
          <w:rFonts w:hint="default" w:ascii="Times New Roman" w:hAnsi="Times New Roman" w:eastAsia="仿宋_GB2312" w:cs="Times New Roman"/>
          <w:sz w:val="32"/>
          <w:szCs w:val="32"/>
        </w:rPr>
        <w:t>“案-件比”实证研究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0"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3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．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基层检察机关案例意识培养相关问题研究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0"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4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．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检察机关指导性案例发现遴选编研机制研究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0"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5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．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指导性案例应用方法研究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0"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6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．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检察官以案释法制度研究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0"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7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．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健全对最高人民法院巡回法庭的法律监督机制研究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0"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8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．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健全对专门法院的法律监督机制研究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0"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9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．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检察委员会工作信息化建设研究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0"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10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．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完善检察委员会议题范围和标准研究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0"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11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．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检察委员会议题审核制度的构建与完善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0"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12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．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检察听证制度研究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0"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13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．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公安机关执法办案管理中心派驻检察问题研究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0"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14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．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对行政执法机关移送涉嫌犯罪案件实施监督问题研究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0"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15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．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不捕、不诉案件刑事司法与行政执法衔接机制研究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0"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16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．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司法责任制综合配套改革中的问题和对策研究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0"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17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．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检察官业绩考评机制研究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0"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18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．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检察官助理职业发展实证研究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0"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19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．</w:t>
      </w:r>
      <w:r>
        <w:rPr>
          <w:rFonts w:hint="default" w:ascii="Times New Roman" w:hAnsi="Times New Roman" w:eastAsia="仿宋_GB2312" w:cs="Times New Roman"/>
          <w:sz w:val="32"/>
          <w:szCs w:val="32"/>
        </w:rPr>
        <w:t>认罪认罚从宽制度与刑事诉讼转型发展问题研究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0"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20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．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羁押必要性审查机制的重构与完善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0" w:firstLine="640" w:firstLineChars="200"/>
        <w:textAlignment w:val="auto"/>
        <w:rPr>
          <w:rFonts w:hint="default" w:ascii="黑体" w:hAnsi="黑体" w:eastAsia="黑体" w:cs="黑体"/>
          <w:sz w:val="32"/>
          <w:szCs w:val="32"/>
        </w:rPr>
      </w:pPr>
      <w:r>
        <w:rPr>
          <w:rFonts w:hint="default" w:ascii="黑体" w:hAnsi="黑体" w:eastAsia="黑体" w:cs="黑体"/>
          <w:sz w:val="32"/>
          <w:szCs w:val="32"/>
        </w:rPr>
        <w:t>三、关于刑事检察</w:t>
      </w:r>
    </w:p>
    <w:p>
      <w:pPr>
        <w:keepNext w:val="0"/>
        <w:keepLines w:val="0"/>
        <w:pageBreakBefore w:val="0"/>
        <w:widowControl w:val="0"/>
        <w:tabs>
          <w:tab w:val="left" w:pos="31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0"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1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．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惩治与预防网络犯罪疑难问题研究</w:t>
      </w:r>
    </w:p>
    <w:p>
      <w:pPr>
        <w:keepNext w:val="0"/>
        <w:keepLines w:val="0"/>
        <w:pageBreakBefore w:val="0"/>
        <w:widowControl w:val="0"/>
        <w:tabs>
          <w:tab w:val="left" w:pos="31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0"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2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．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危害公共卫生犯罪实务问题研究</w:t>
      </w:r>
    </w:p>
    <w:p>
      <w:pPr>
        <w:keepNext w:val="0"/>
        <w:keepLines w:val="0"/>
        <w:pageBreakBefore w:val="0"/>
        <w:widowControl w:val="0"/>
        <w:tabs>
          <w:tab w:val="left" w:pos="31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0"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3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．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危害水生生物资源犯罪问题研究</w:t>
      </w:r>
    </w:p>
    <w:p>
      <w:pPr>
        <w:keepNext w:val="0"/>
        <w:keepLines w:val="0"/>
        <w:pageBreakBefore w:val="0"/>
        <w:widowControl w:val="0"/>
        <w:tabs>
          <w:tab w:val="left" w:pos="31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0"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4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．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涉税犯罪实务问题研究</w:t>
      </w:r>
    </w:p>
    <w:p>
      <w:pPr>
        <w:keepNext w:val="0"/>
        <w:keepLines w:val="0"/>
        <w:pageBreakBefore w:val="0"/>
        <w:widowControl w:val="0"/>
        <w:tabs>
          <w:tab w:val="left" w:pos="31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0"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5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．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破坏野生动物资源犯罪实务问题研究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0"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6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．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危害公共卫生等刑事案件适用法律问题研究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0"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7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．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危害食品安全刑事案件适用法律问题研究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0"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8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．</w:t>
      </w:r>
      <w:r>
        <w:rPr>
          <w:rFonts w:hint="default" w:ascii="Times New Roman" w:hAnsi="Times New Roman" w:eastAsia="仿宋_GB2312" w:cs="Times New Roman"/>
          <w:sz w:val="32"/>
          <w:szCs w:val="32"/>
        </w:rPr>
        <w:t>证券期货犯罪实务问题研究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0"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9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．</w:t>
      </w:r>
      <w:r>
        <w:rPr>
          <w:rFonts w:hint="default" w:ascii="Times New Roman" w:hAnsi="Times New Roman" w:eastAsia="仿宋_GB2312" w:cs="Times New Roman"/>
          <w:sz w:val="32"/>
          <w:szCs w:val="32"/>
        </w:rPr>
        <w:t>醉驾刑事案件法律政策问题研究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0"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10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．</w:t>
      </w:r>
      <w:r>
        <w:rPr>
          <w:rFonts w:hint="default" w:ascii="Times New Roman" w:hAnsi="Times New Roman" w:eastAsia="仿宋_GB2312" w:cs="Times New Roman"/>
          <w:sz w:val="32"/>
          <w:szCs w:val="32"/>
        </w:rPr>
        <w:t>贪污贿赂犯罪实务问题研究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0"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11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．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洗钱犯罪实务问题研究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0"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12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．</w:t>
      </w:r>
      <w:r>
        <w:rPr>
          <w:rFonts w:hint="default" w:ascii="Times New Roman" w:hAnsi="Times New Roman" w:eastAsia="仿宋_GB2312" w:cs="Times New Roman"/>
          <w:sz w:val="32"/>
          <w:szCs w:val="32"/>
        </w:rPr>
        <w:t>“套路贷”犯罪案件实证研究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0"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13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．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办理侵犯知识产权刑事案件法律适用问题研究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0"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14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．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办理金融机构信贷领域刑事案件适用法律问题研究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0"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15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．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单位犯罪刑事案件法律适用问题研究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0"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16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．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监狱巡回检察制度实践中的问题及对策研究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0"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17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．</w:t>
      </w:r>
      <w:r>
        <w:rPr>
          <w:rFonts w:hint="default" w:ascii="Times New Roman" w:hAnsi="Times New Roman" w:eastAsia="仿宋_GB2312" w:cs="Times New Roman"/>
          <w:sz w:val="32"/>
          <w:szCs w:val="32"/>
        </w:rPr>
        <w:t>认罪认罚案件中值班律师相关问题研究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0"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18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．</w:t>
      </w:r>
      <w:r>
        <w:rPr>
          <w:rFonts w:hint="default" w:ascii="Times New Roman" w:hAnsi="Times New Roman" w:eastAsia="仿宋_GB2312" w:cs="Times New Roman"/>
          <w:sz w:val="32"/>
          <w:szCs w:val="32"/>
        </w:rPr>
        <w:t>认罪认罚案件相对不起诉标准研究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0"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19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．</w:t>
      </w:r>
      <w:r>
        <w:rPr>
          <w:rFonts w:hint="default" w:ascii="Times New Roman" w:hAnsi="Times New Roman" w:eastAsia="仿宋_GB2312" w:cs="Times New Roman"/>
          <w:sz w:val="32"/>
          <w:szCs w:val="32"/>
        </w:rPr>
        <w:t>重罪案件适用认罪认罚从宽制度研究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0"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/>
        </w:rPr>
        <w:t>20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．</w:t>
      </w:r>
      <w:r>
        <w:rPr>
          <w:rFonts w:hint="default" w:ascii="Times New Roman" w:hAnsi="Times New Roman" w:eastAsia="仿宋_GB2312" w:cs="Times New Roman"/>
          <w:sz w:val="32"/>
          <w:szCs w:val="32"/>
        </w:rPr>
        <w:t>量刑建议实务问题研究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0"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21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．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司法工作人员职务犯罪问题研究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0"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22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．</w:t>
      </w:r>
      <w:r>
        <w:rPr>
          <w:rFonts w:hint="default" w:ascii="Times New Roman" w:hAnsi="Times New Roman" w:eastAsia="仿宋_GB2312" w:cs="Times New Roman"/>
          <w:sz w:val="32"/>
          <w:szCs w:val="32"/>
        </w:rPr>
        <w:t>职务犯罪案件自行补充侦查问题研究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0"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23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．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刑事涉案财物处置的独立之诉研究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0"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24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．</w:t>
      </w:r>
      <w:r>
        <w:rPr>
          <w:rFonts w:hint="default" w:ascii="Times New Roman" w:hAnsi="Times New Roman" w:eastAsia="仿宋_GB2312" w:cs="Times New Roman"/>
          <w:sz w:val="32"/>
          <w:szCs w:val="32"/>
        </w:rPr>
        <w:t>违法所得没收程序实证研究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0"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25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．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缺席审判程序研究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0"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26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．</w:t>
      </w:r>
      <w:r>
        <w:rPr>
          <w:rFonts w:hint="default" w:ascii="Times New Roman" w:hAnsi="Times New Roman" w:eastAsia="仿宋_GB2312" w:cs="Times New Roman"/>
          <w:sz w:val="32"/>
          <w:szCs w:val="32"/>
        </w:rPr>
        <w:t>非羁押诉讼制度研究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0"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27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．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办理故意伤害案件的法律政策问题研究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0"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28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．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数据安全保护与刑法应对研究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0"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29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．</w:t>
      </w:r>
      <w:r>
        <w:rPr>
          <w:rFonts w:hint="default" w:ascii="Times New Roman" w:hAnsi="Times New Roman" w:eastAsia="仿宋_GB2312" w:cs="Times New Roman"/>
          <w:sz w:val="32"/>
          <w:szCs w:val="32"/>
        </w:rPr>
        <w:t>跨区域犯罪办案协调机制研究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0"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30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．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出庭公诉新挑战与公诉能力建设研究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0"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31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．</w:t>
      </w:r>
      <w:r>
        <w:rPr>
          <w:rFonts w:hint="default" w:ascii="Times New Roman" w:hAnsi="Times New Roman" w:eastAsia="仿宋_GB2312" w:cs="Times New Roman"/>
          <w:sz w:val="32"/>
          <w:szCs w:val="32"/>
        </w:rPr>
        <w:t>认罪认罚控辩协商机制研究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0"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32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．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公民人格权刑事保护问题研究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640" w:firstLineChars="200"/>
        <w:textAlignment w:val="auto"/>
        <w:rPr>
          <w:rFonts w:hint="default" w:ascii="黑体" w:hAnsi="黑体" w:eastAsia="黑体" w:cs="黑体"/>
          <w:sz w:val="32"/>
          <w:szCs w:val="32"/>
        </w:rPr>
      </w:pPr>
      <w:r>
        <w:rPr>
          <w:rFonts w:hint="default" w:ascii="黑体" w:hAnsi="黑体" w:eastAsia="黑体" w:cs="黑体"/>
          <w:sz w:val="32"/>
          <w:szCs w:val="32"/>
        </w:rPr>
        <w:t>四、关于民事检察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0"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1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．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案外人执行异议之诉的检察监督问题研究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0"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2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．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民事非诉执行检察监督理论与实务研究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0"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3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．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民事虚假诉讼主要类型、发生原因及通过检察监督予以规制的路径问题研究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0"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4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．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完善和构建民事再审检察建议机制研究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0"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5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．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民事检察类案监督研究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0" w:firstLine="640" w:firstLineChars="200"/>
        <w:textAlignment w:val="auto"/>
        <w:rPr>
          <w:rFonts w:hint="default" w:ascii="黑体" w:hAnsi="黑体" w:eastAsia="黑体" w:cs="黑体"/>
          <w:sz w:val="32"/>
          <w:szCs w:val="32"/>
        </w:rPr>
      </w:pPr>
      <w:r>
        <w:rPr>
          <w:rFonts w:hint="default" w:ascii="黑体" w:hAnsi="黑体" w:eastAsia="黑体" w:cs="黑体"/>
          <w:sz w:val="32"/>
          <w:szCs w:val="32"/>
        </w:rPr>
        <w:t>五、关于行政检察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0"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1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．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检察机关实质性化解行政争议研究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0"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2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．</w:t>
      </w:r>
      <w:r>
        <w:rPr>
          <w:rFonts w:hint="default" w:ascii="Times New Roman" w:hAnsi="Times New Roman" w:eastAsia="仿宋_GB2312" w:cs="Times New Roman"/>
          <w:sz w:val="32"/>
          <w:szCs w:val="32"/>
        </w:rPr>
        <w:t>行政执法与行政检察衔接机制研究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0"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3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．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人民法院行政案件集中管辖与行政诉讼监督应对研究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0" w:firstLine="640" w:firstLineChars="200"/>
        <w:textAlignment w:val="auto"/>
        <w:rPr>
          <w:rFonts w:hint="default" w:ascii="黑体" w:hAnsi="黑体" w:eastAsia="黑体" w:cs="黑体"/>
          <w:sz w:val="32"/>
          <w:szCs w:val="32"/>
        </w:rPr>
      </w:pPr>
      <w:r>
        <w:rPr>
          <w:rFonts w:hint="default" w:ascii="黑体" w:hAnsi="黑体" w:eastAsia="黑体" w:cs="黑体"/>
          <w:sz w:val="32"/>
          <w:szCs w:val="32"/>
        </w:rPr>
        <w:t>六、关于公益诉讼检察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0"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1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．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检察公益诉讼管辖权问题研究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0"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2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．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检察公益诉讼举证责任配置研究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0"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3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．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检察机关调查核实权研究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0"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4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．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大数据视野下的公益诉讼案件线索筛查问题研究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0"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5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．</w:t>
      </w:r>
      <w:r>
        <w:rPr>
          <w:rFonts w:hint="default" w:ascii="Times New Roman" w:hAnsi="Times New Roman" w:eastAsia="仿宋_GB2312" w:cs="Times New Roman"/>
          <w:sz w:val="32"/>
          <w:szCs w:val="32"/>
        </w:rPr>
        <w:t>“后疫情时代”公共卫生安全检察公益诉讼研究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0"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6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．</w:t>
      </w:r>
      <w:r>
        <w:rPr>
          <w:rFonts w:hint="default" w:ascii="Times New Roman" w:hAnsi="Times New Roman" w:eastAsia="仿宋_GB2312" w:cs="Times New Roman"/>
          <w:sz w:val="32"/>
          <w:szCs w:val="32"/>
        </w:rPr>
        <w:t>食品安全民事公益诉讼公益损害的证明标准研究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0"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7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．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公益诉讼等外领域研究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0"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8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．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民事公益诉讼惩罚性赔偿制度研究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0"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9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．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公益诉讼诉前检察建议落实标准及成效评估制度研究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0"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10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．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公益诉讼中刑事民事行政责任的衔接问题研究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0" w:firstLine="640" w:firstLineChars="200"/>
        <w:textAlignment w:val="auto"/>
        <w:rPr>
          <w:rFonts w:hint="default" w:ascii="黑体" w:hAnsi="黑体" w:eastAsia="黑体" w:cs="黑体"/>
          <w:sz w:val="32"/>
          <w:szCs w:val="32"/>
        </w:rPr>
      </w:pPr>
      <w:r>
        <w:rPr>
          <w:rFonts w:hint="default" w:ascii="黑体" w:hAnsi="黑体" w:eastAsia="黑体" w:cs="黑体"/>
          <w:sz w:val="32"/>
          <w:szCs w:val="32"/>
        </w:rPr>
        <w:t>七、关于未成年人检察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0"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1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．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性侵害未成年人犯罪证明标准研究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0"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2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．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未成年人附条件不起诉问题研究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0"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3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．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核准追究未成年人刑事责任问题研究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0"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4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．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未成年人保护检察公益诉讼研究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0"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八、关于控告申诉检察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0"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1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．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检察机关控告申诉案件受理机制研究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0"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2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．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群众信访件件有回复制度研究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0"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3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．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刑事申诉案件的公开听证问题研究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0"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4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．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刑事申诉案件办理机制研究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0"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5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．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清理信访积案相关问题研究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0"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九、关于检察技术与业务结合</w:t>
      </w:r>
    </w:p>
    <w:p>
      <w:pPr>
        <w:pStyle w:val="5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240" w:lineRule="auto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1．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刑事检察技术性证据专门审查的监督纠错作用研究</w:t>
      </w:r>
    </w:p>
    <w:p>
      <w:pPr>
        <w:pStyle w:val="5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240" w:lineRule="auto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2．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省级以下技术资源统筹布局问题研究</w:t>
      </w:r>
    </w:p>
    <w:p>
      <w:pPr>
        <w:pStyle w:val="5"/>
        <w:numPr>
          <w:ilvl w:val="0"/>
          <w:numId w:val="0"/>
        </w:numPr>
        <w:spacing w:line="240" w:lineRule="auto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3．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公益诉讼办案中技术协作配合机制研究</w:t>
      </w:r>
    </w:p>
    <w:p>
      <w:pPr>
        <w:autoSpaceDE w:val="0"/>
        <w:spacing w:line="560" w:lineRule="exact"/>
        <w:ind w:firstLine="0" w:firstLineChars="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eastAsia" w:ascii="方正小标宋_GBK" w:hAnsi="方正小标宋_GBK" w:eastAsia="方正小标宋_GBK" w:cs="方正小标宋_GBK"/>
          <w:kern w:val="2"/>
          <w:sz w:val="44"/>
          <w:szCs w:val="44"/>
          <w:lang w:val="en-US" w:eastAsia="zh-CN" w:bidi="ar"/>
        </w:rPr>
        <w:t xml:space="preserve"> </w:t>
      </w:r>
    </w:p>
    <w:sectPr>
      <w:footerReference r:id="rId3" w:type="default"/>
      <w:pgSz w:w="11906" w:h="16838"/>
      <w:pgMar w:top="2098" w:right="1531" w:bottom="1984" w:left="1531" w:header="851" w:footer="1587" w:gutter="0"/>
      <w:paperSrc/>
      <w:cols w:space="720" w:num="1"/>
      <w:rtlGutter w:val="0"/>
      <w:docGrid w:type="lines" w:linePitch="31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altName w:val="Wingdings 2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DejaVu Sans">
    <w:altName w:val="ZX81"/>
    <w:panose1 w:val="020B0603030804020204"/>
    <w:charset w:val="00"/>
    <w:family w:val="roman"/>
    <w:pitch w:val="default"/>
    <w:sig w:usb0="E7006EFF" w:usb1="D200FDFF" w:usb2="0A246029" w:usb3="0400200C" w:csb0="600001FF" w:csb1="DFFF0000"/>
  </w:font>
  <w:font w:name="方正小标宋_GBK">
    <w:altName w:val="Arial Unicode MS"/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ZX81">
    <w:panose1 w:val="020B06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2555240</wp:posOffset>
              </wp:positionH>
              <wp:positionV relativeFrom="paragraph">
                <wp:posOffset>-83820</wp:posOffset>
              </wp:positionV>
              <wp:extent cx="163195" cy="24003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3195" cy="2400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3"/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 upright="0"/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201.2pt;margin-top:-6.6pt;height:18.9pt;width:12.85pt;mso-position-horizontal-relative:margin;z-index:251659264;mso-width-relative:page;mso-height-relative:page;" filled="f" stroked="f" coordsize="21600,21600" o:gfxdata="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pStyle w:val="3"/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trackRevisions w:val="1"/>
  <w:documentProtection w:enforcement="0"/>
  <w:defaultTabStop w:val="420"/>
  <w:hyphenationZone w:val="360"/>
  <w:drawingGridHorizontalSpacing w:val="158"/>
  <w:drawingGridVerticalSpacing w:val="290"/>
  <w:displayHorizontalDrawingGridEvery w:val="2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A6D7A2D"/>
    <w:rsid w:val="0FFBF67D"/>
    <w:rsid w:val="0FFFDFC4"/>
    <w:rsid w:val="1B59E1AC"/>
    <w:rsid w:val="1F6E2159"/>
    <w:rsid w:val="23DD496B"/>
    <w:rsid w:val="2AEBAC5F"/>
    <w:rsid w:val="2FCB4588"/>
    <w:rsid w:val="2FFE1393"/>
    <w:rsid w:val="35F576F0"/>
    <w:rsid w:val="37E7C69F"/>
    <w:rsid w:val="38BFA5C4"/>
    <w:rsid w:val="38F30F4C"/>
    <w:rsid w:val="39B6D89C"/>
    <w:rsid w:val="3BDEF71B"/>
    <w:rsid w:val="3DEE8290"/>
    <w:rsid w:val="3EAB0813"/>
    <w:rsid w:val="3EB552C7"/>
    <w:rsid w:val="3EF37585"/>
    <w:rsid w:val="3FBD2347"/>
    <w:rsid w:val="3FBFB727"/>
    <w:rsid w:val="3FEF7AB6"/>
    <w:rsid w:val="3FFE2997"/>
    <w:rsid w:val="3FFE6CA6"/>
    <w:rsid w:val="3FFF13D5"/>
    <w:rsid w:val="4715352D"/>
    <w:rsid w:val="47FD80CF"/>
    <w:rsid w:val="563FD872"/>
    <w:rsid w:val="5AEF609F"/>
    <w:rsid w:val="5BBBF516"/>
    <w:rsid w:val="5BEFCBD1"/>
    <w:rsid w:val="5BF98B6F"/>
    <w:rsid w:val="5FB386BE"/>
    <w:rsid w:val="5FC278AC"/>
    <w:rsid w:val="65FBA51D"/>
    <w:rsid w:val="679B5A97"/>
    <w:rsid w:val="67FEEF4C"/>
    <w:rsid w:val="693F8E06"/>
    <w:rsid w:val="69E64A76"/>
    <w:rsid w:val="6A7AC794"/>
    <w:rsid w:val="6E6E49BA"/>
    <w:rsid w:val="6EFF9B65"/>
    <w:rsid w:val="6F666EF1"/>
    <w:rsid w:val="6F7F2E47"/>
    <w:rsid w:val="6F97FB53"/>
    <w:rsid w:val="6FDB787C"/>
    <w:rsid w:val="73EF7FD6"/>
    <w:rsid w:val="752F6149"/>
    <w:rsid w:val="757D6B60"/>
    <w:rsid w:val="7737A83D"/>
    <w:rsid w:val="77A78DE5"/>
    <w:rsid w:val="77FFF97A"/>
    <w:rsid w:val="79A95FCB"/>
    <w:rsid w:val="79CBCD1C"/>
    <w:rsid w:val="7BC7695C"/>
    <w:rsid w:val="7DFF2248"/>
    <w:rsid w:val="7EC0B7E0"/>
    <w:rsid w:val="7ED469C2"/>
    <w:rsid w:val="7EF92997"/>
    <w:rsid w:val="7F274642"/>
    <w:rsid w:val="7F3B828E"/>
    <w:rsid w:val="7F3FA2B5"/>
    <w:rsid w:val="7F532D1A"/>
    <w:rsid w:val="7FAF633A"/>
    <w:rsid w:val="7FB8425C"/>
    <w:rsid w:val="7FBF40A5"/>
    <w:rsid w:val="7FDFB890"/>
    <w:rsid w:val="7FFB53E7"/>
    <w:rsid w:val="95D753C0"/>
    <w:rsid w:val="97DBC57F"/>
    <w:rsid w:val="9A4FACFE"/>
    <w:rsid w:val="9AAB4B04"/>
    <w:rsid w:val="9BEAA03C"/>
    <w:rsid w:val="A9FCAD14"/>
    <w:rsid w:val="B9FC4E73"/>
    <w:rsid w:val="BB4D96AD"/>
    <w:rsid w:val="BFE7633C"/>
    <w:rsid w:val="BFFD56F9"/>
    <w:rsid w:val="CFB991E3"/>
    <w:rsid w:val="CFBA749F"/>
    <w:rsid w:val="DACE39C1"/>
    <w:rsid w:val="DF7FA499"/>
    <w:rsid w:val="EBE8A8A4"/>
    <w:rsid w:val="EEFB4288"/>
    <w:rsid w:val="EFDD7542"/>
    <w:rsid w:val="EFFC7161"/>
    <w:rsid w:val="F07D64F0"/>
    <w:rsid w:val="F67FA707"/>
    <w:rsid w:val="F6FC6E6E"/>
    <w:rsid w:val="F6FD9633"/>
    <w:rsid w:val="F75FCBDE"/>
    <w:rsid w:val="F77F98E6"/>
    <w:rsid w:val="F7A7A1AA"/>
    <w:rsid w:val="F7EDF377"/>
    <w:rsid w:val="F9BA5F99"/>
    <w:rsid w:val="F9BCAE52"/>
    <w:rsid w:val="FA6F1D14"/>
    <w:rsid w:val="FBEF9AEC"/>
    <w:rsid w:val="FBFF522A"/>
    <w:rsid w:val="FC6DEA22"/>
    <w:rsid w:val="FD1F7ECC"/>
    <w:rsid w:val="FD79A114"/>
    <w:rsid w:val="FDBFB0AF"/>
    <w:rsid w:val="FDDD10ED"/>
    <w:rsid w:val="FE5132B3"/>
    <w:rsid w:val="FE779A0F"/>
    <w:rsid w:val="FE7B8142"/>
    <w:rsid w:val="FE9FE88E"/>
    <w:rsid w:val="FEDD7402"/>
    <w:rsid w:val="FF7D46FF"/>
    <w:rsid w:val="FFB7E38E"/>
    <w:rsid w:val="FFC38F44"/>
    <w:rsid w:val="FFEB84ED"/>
    <w:rsid w:val="FFEC9528"/>
    <w:rsid w:val="FFFFCD6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DejaVu Sans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uiPriority w:val="0"/>
    <w:tblPr>
      <w:tblStyle w:val="6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uiPriority w:val="0"/>
    <w:pPr>
      <w:ind w:firstLine="630"/>
    </w:p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rFonts w:ascii="DejaVu Sans" w:hAnsi="DejaVu Sans"/>
      <w:sz w:val="18"/>
    </w:rPr>
  </w:style>
  <w:style w:type="paragraph" w:styleId="5">
    <w:name w:val="Body Text First Indent 2"/>
    <w:basedOn w:val="2"/>
    <w:unhideWhenUsed/>
    <w:qFormat/>
    <w:uiPriority w:val="99"/>
    <w:pPr>
      <w:spacing w:after="120" w:afterLines="0"/>
      <w:ind w:left="200" w:leftChars="200" w:firstLine="420" w:firstLineChars="200"/>
    </w:pPr>
    <w:rPr>
      <w:rFonts w:ascii="Times New Roman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31.3333333333333</TotalTime>
  <ScaleCrop>false</ScaleCrop>
  <LinksUpToDate>false</LinksUpToDate>
  <CharactersWithSpaces>0</CharactersWithSpaces>
  <Application>WPS Office_11.1.0.10446_F1E327BC-269C-435d-A152-05C5408002CA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2014-11-03T12:08:00Z</dcterms:created>
  <dc:creator>Administrator</dc:creator>
  <cp:lastModifiedBy>yaoling</cp:lastModifiedBy>
  <cp:lastPrinted>2021-03-31T06:43:22Z</cp:lastPrinted>
  <dcterms:modified xsi:type="dcterms:W3CDTF">2021-04-09T02:58:44Z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2052-11.1.0.10446</vt:lpwstr>
  </property>
  <property fmtid="{D5CDD505-2E9C-101B-9397-08002B2CF9AE}" pid="3" name="ICV">
    <vt:lpwstr>5786D69574564B869A17803BFB112268</vt:lpwstr>
  </property>
</Properties>
</file>